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A" w:rsidRDefault="00233B07">
      <w:r>
        <w:rPr>
          <w:noProof/>
          <w:lang w:eastAsia="it-IT"/>
        </w:rPr>
        <w:drawing>
          <wp:anchor distT="0" distB="0" distL="114300" distR="114300" simplePos="0" relativeHeight="251658240" behindDoc="0" locked="0" layoutInCell="1" allowOverlap="1">
            <wp:simplePos x="0" y="0"/>
            <wp:positionH relativeFrom="column">
              <wp:posOffset>4518449</wp:posOffset>
            </wp:positionH>
            <wp:positionV relativeFrom="paragraph">
              <wp:posOffset>-671195</wp:posOffset>
            </wp:positionV>
            <wp:extent cx="2094968" cy="352425"/>
            <wp:effectExtent l="0" t="0" r="0" b="0"/>
            <wp:wrapNone/>
            <wp:docPr id="2" name="Immagine 2" descr="Y:\Magazzino\Green Park srl  documenti\ANIMAZIONI E LOGHI GREEN PARK\LOGO GREEN PARK\New-logo-green-park-intestat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gazzino\Green Park srl  documenti\ANIMAZIONI E LOGHI GREEN PARK\LOGO GREEN PARK\New-logo-green-park-intestat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016" cy="355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B9B">
        <w:t xml:space="preserve">GREEN PARK - </w:t>
      </w:r>
      <w:bookmarkStart w:id="0" w:name="_GoBack"/>
      <w:bookmarkEnd w:id="0"/>
      <w:r w:rsidR="00EE62A3">
        <w:t xml:space="preserve">LIFT </w:t>
      </w:r>
      <w:r w:rsidR="00784494">
        <w:t>C2</w:t>
      </w:r>
      <w:r w:rsidR="00EE62A3">
        <w:t xml:space="preserve"> CCB </w:t>
      </w:r>
    </w:p>
    <w:p w:rsidR="00A14CCB" w:rsidRDefault="001F1531" w:rsidP="001F1531">
      <w:pPr>
        <w:spacing w:after="0"/>
      </w:pPr>
      <w:r>
        <w:t xml:space="preserve">Piattaforma elevatrice per auto, con movimentazione </w:t>
      </w:r>
      <w:r w:rsidR="00784494">
        <w:t>colonne laterali</w:t>
      </w:r>
      <w:r>
        <w:t>, certificata per la presenza del conducente a bordo.</w:t>
      </w:r>
    </w:p>
    <w:p w:rsidR="001F1531" w:rsidRDefault="001F1531" w:rsidP="001F1531">
      <w:pPr>
        <w:spacing w:after="0"/>
      </w:pPr>
      <w:r>
        <w:t>L’impianto è dotato di attestato di esame CE rilasciato da un ente notificato come impone l’allegato IX della direttiva macchine 2006/42/CE.</w:t>
      </w:r>
    </w:p>
    <w:p w:rsidR="001F1531" w:rsidRDefault="001F1531" w:rsidP="001F1531">
      <w:pPr>
        <w:spacing w:after="0"/>
      </w:pPr>
    </w:p>
    <w:p w:rsidR="001F1531" w:rsidRDefault="001F1531" w:rsidP="001F1531">
      <w:pPr>
        <w:spacing w:after="0"/>
      </w:pPr>
    </w:p>
    <w:p w:rsidR="00EE62A3" w:rsidRDefault="00EE62A3">
      <w:r>
        <w:t xml:space="preserve">DESCRIZIONE </w:t>
      </w:r>
      <w:r w:rsidR="00714890">
        <w:t>TECNICA</w:t>
      </w:r>
      <w:r>
        <w:t xml:space="preserve"> DELLA PIATTAFORMA</w:t>
      </w:r>
    </w:p>
    <w:p w:rsidR="000C1553" w:rsidRPr="002D143A" w:rsidRDefault="002D143A" w:rsidP="001623B9">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La piattaforma LIFT </w:t>
      </w:r>
      <w:r w:rsidR="00784494">
        <w:rPr>
          <w:rFonts w:ascii="Arial Unicode MS" w:eastAsia="Arial Unicode MS" w:hAnsi="Arial Unicode MS" w:cs="Arial Unicode MS"/>
          <w:sz w:val="18"/>
          <w:szCs w:val="16"/>
        </w:rPr>
        <w:t>C2</w:t>
      </w:r>
      <w:r w:rsidRPr="002D143A">
        <w:rPr>
          <w:rFonts w:ascii="Arial Unicode MS" w:eastAsia="Arial Unicode MS" w:hAnsi="Arial Unicode MS" w:cs="Arial Unicode MS"/>
          <w:sz w:val="18"/>
          <w:szCs w:val="16"/>
        </w:rPr>
        <w:t xml:space="preserve"> CCB è un’attrezzatura con la quale si possono sfruttare al meglio gli spazi disponibili per il parcheggio di autovetture, siano essi seminterrati, piccoli box oppure autorimesse, evitando la creazione delle normali rampe carrabili di asservimento. La piattaforma funziona con comandi di semplice comprensione ed attivazione e con chiare avvertenze sul libretto uso-manutenzione. </w:t>
      </w:r>
    </w:p>
    <w:p w:rsidR="002D143A" w:rsidRPr="002D143A" w:rsidRDefault="002D143A" w:rsidP="00714890">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w:t>
      </w:r>
      <w:r w:rsidR="00C81B5B">
        <w:rPr>
          <w:rFonts w:ascii="Arial Unicode MS" w:eastAsia="Arial Unicode MS" w:hAnsi="Arial Unicode MS" w:cs="Arial Unicode MS"/>
          <w:sz w:val="18"/>
          <w:szCs w:val="16"/>
        </w:rPr>
        <w:t xml:space="preserve"> di sollevamento </w:t>
      </w:r>
      <w:r w:rsidR="00784494">
        <w:rPr>
          <w:rFonts w:ascii="Arial Unicode MS" w:eastAsia="Arial Unicode MS" w:hAnsi="Arial Unicode MS" w:cs="Arial Unicode MS"/>
          <w:sz w:val="18"/>
          <w:szCs w:val="16"/>
        </w:rPr>
        <w:t xml:space="preserve"> è composta da </w:t>
      </w:r>
      <w:r w:rsidRPr="002D143A">
        <w:rPr>
          <w:rFonts w:ascii="Arial Unicode MS" w:eastAsia="Arial Unicode MS" w:hAnsi="Arial Unicode MS" w:cs="Arial Unicode MS"/>
          <w:sz w:val="18"/>
          <w:szCs w:val="16"/>
        </w:rPr>
        <w:t xml:space="preserve">un pianale </w:t>
      </w:r>
      <w:r w:rsidR="00C81B5B">
        <w:rPr>
          <w:rFonts w:ascii="Arial Unicode MS" w:eastAsia="Arial Unicode MS" w:hAnsi="Arial Unicode MS" w:cs="Arial Unicode MS"/>
          <w:sz w:val="18"/>
          <w:szCs w:val="16"/>
        </w:rPr>
        <w:t xml:space="preserve">di carico </w:t>
      </w:r>
      <w:r w:rsidRPr="002D143A">
        <w:rPr>
          <w:rFonts w:ascii="Arial Unicode MS" w:eastAsia="Arial Unicode MS" w:hAnsi="Arial Unicode MS" w:cs="Arial Unicode MS"/>
          <w:sz w:val="18"/>
          <w:szCs w:val="16"/>
        </w:rPr>
        <w:t>su cui si colloca</w:t>
      </w:r>
      <w:r w:rsidR="00C81B5B">
        <w:rPr>
          <w:rFonts w:ascii="Arial Unicode MS" w:eastAsia="Arial Unicode MS" w:hAnsi="Arial Unicode MS" w:cs="Arial Unicode MS"/>
          <w:sz w:val="18"/>
          <w:szCs w:val="16"/>
        </w:rPr>
        <w:t>re</w:t>
      </w:r>
      <w:r w:rsidRPr="002D143A">
        <w:rPr>
          <w:rFonts w:ascii="Arial Unicode MS" w:eastAsia="Arial Unicode MS" w:hAnsi="Arial Unicode MS" w:cs="Arial Unicode MS"/>
          <w:sz w:val="18"/>
          <w:szCs w:val="16"/>
        </w:rPr>
        <w:t xml:space="preserve"> l’autovettura</w:t>
      </w:r>
      <w:r w:rsidR="0047272B">
        <w:rPr>
          <w:rFonts w:ascii="Arial Unicode MS" w:eastAsia="Arial Unicode MS" w:hAnsi="Arial Unicode MS" w:cs="Arial Unicode MS"/>
          <w:sz w:val="18"/>
          <w:szCs w:val="16"/>
        </w:rPr>
        <w:t xml:space="preserve"> movimentata da un sistema a colonne laterali </w:t>
      </w:r>
      <w:r w:rsidR="0033169E">
        <w:rPr>
          <w:rFonts w:ascii="Arial Unicode MS" w:eastAsia="Arial Unicode MS" w:hAnsi="Arial Unicode MS" w:cs="Arial Unicode MS"/>
          <w:sz w:val="18"/>
          <w:szCs w:val="16"/>
        </w:rPr>
        <w:t xml:space="preserve">ancorate a </w:t>
      </w:r>
      <w:r w:rsidR="0027253F">
        <w:rPr>
          <w:rFonts w:ascii="Arial Unicode MS" w:eastAsia="Arial Unicode MS" w:hAnsi="Arial Unicode MS" w:cs="Arial Unicode MS"/>
          <w:sz w:val="18"/>
          <w:szCs w:val="16"/>
        </w:rPr>
        <w:t>pareti in calcestruzzo armato o a struttura metallica in grado di reggere i carichi sviluppati dalla piattaforma.</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telaio e il pianale sono costruiti con profili in acciaio (tubolari o ricavati da lamiere piegate a freddo) saldati con procedimenti che isolano il bagno si saldatura dall’ambiente circostante garantendo così inossidabilità ed omogeneità delle saldature.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in acciaio elettrosaldata ed imbullonata opportunamente dimensionata e protetta con trattamento </w:t>
      </w:r>
      <w:r w:rsidRPr="002D143A">
        <w:rPr>
          <w:rFonts w:ascii="Arial Unicode MS" w:eastAsia="Arial Unicode MS" w:hAnsi="Arial Unicode MS" w:cs="Arial Unicode MS"/>
          <w:b/>
          <w:bCs/>
          <w:sz w:val="18"/>
          <w:szCs w:val="16"/>
        </w:rPr>
        <w:t xml:space="preserve">galvanico di zincatura a caldo secondo </w:t>
      </w:r>
      <w:r w:rsidRPr="002D143A">
        <w:rPr>
          <w:rFonts w:ascii="Arial Unicode MS" w:eastAsia="Arial Unicode MS" w:hAnsi="Arial Unicode MS" w:cs="Arial Unicode MS"/>
          <w:sz w:val="18"/>
          <w:szCs w:val="16"/>
        </w:rPr>
        <w:t xml:space="preserve">la normativa UNI EN ISO 1461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dell’impianto realizzata con acciai di qualità S 275JR e S 355JO secondo normative UNI EN 10025 e UNI EN 10027. La bulloneria fornita è protetta da zincatura galvanica </w:t>
      </w:r>
      <w:proofErr w:type="spellStart"/>
      <w:r w:rsidRPr="002D143A">
        <w:rPr>
          <w:rFonts w:ascii="Arial Unicode MS" w:eastAsia="Arial Unicode MS" w:hAnsi="Arial Unicode MS" w:cs="Arial Unicode MS"/>
          <w:sz w:val="18"/>
          <w:szCs w:val="16"/>
        </w:rPr>
        <w:t>f.Zn</w:t>
      </w:r>
      <w:proofErr w:type="spellEnd"/>
      <w:r w:rsidRPr="002D143A">
        <w:rPr>
          <w:rFonts w:ascii="Arial Unicode MS" w:eastAsia="Arial Unicode MS" w:hAnsi="Arial Unicode MS" w:cs="Arial Unicode MS"/>
          <w:sz w:val="18"/>
          <w:szCs w:val="16"/>
        </w:rPr>
        <w:t xml:space="preserve"> 12II UNI 4721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locale di ricevimento della piattaforma, annesso alla zona di parcheggio dei veicoli, risulta essere confinato da una idonea porta che, fino a quando il pianale non ha raggiunto il fine corsa, non si apre. Questo assicura il corretto allineamento della piattaforma rispetto al pavimento del locale.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Ai due</w:t>
      </w:r>
      <w:r w:rsidR="00931465">
        <w:rPr>
          <w:rFonts w:ascii="Arial Unicode MS" w:eastAsia="Arial Unicode MS" w:hAnsi="Arial Unicode MS" w:cs="Arial Unicode MS"/>
          <w:sz w:val="18"/>
          <w:szCs w:val="16"/>
        </w:rPr>
        <w:t xml:space="preserve"> o più</w:t>
      </w:r>
      <w:r w:rsidRPr="002D143A">
        <w:rPr>
          <w:rFonts w:ascii="Arial Unicode MS" w:eastAsia="Arial Unicode MS" w:hAnsi="Arial Unicode MS" w:cs="Arial Unicode MS"/>
          <w:sz w:val="18"/>
          <w:szCs w:val="16"/>
        </w:rPr>
        <w:t xml:space="preserve"> piani va previsto un impianto di illuminazione sulla porta di sconfinamento. </w:t>
      </w:r>
    </w:p>
    <w:p w:rsidR="002D143A" w:rsidRDefault="002D143A" w:rsidP="001F1531">
      <w:pPr>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L’installazione viene sempre eseguita da tecnici autorizzati dalla nostra Ditta; si prevede un intervento di opere murarie solo per quanto riguarda gli appositi alloggi creati tramite scavo e finitura in c.a.</w:t>
      </w:r>
    </w:p>
    <w:p w:rsidR="002D143A" w:rsidRDefault="002D143A" w:rsidP="002D143A">
      <w:r>
        <w:t>DESCRIZIONE TECNICA DELLA PIATTAFORMA</w:t>
      </w:r>
    </w:p>
    <w:p w:rsidR="002D143A" w:rsidRPr="002D143A" w:rsidRDefault="002D143A" w:rsidP="002D143A">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Il circuito idraulico è azionato da una </w:t>
      </w:r>
      <w:r w:rsidR="0021167F">
        <w:rPr>
          <w:rFonts w:ascii="Arial Unicode MS" w:eastAsia="Arial Unicode MS" w:hAnsi="Arial Unicode MS" w:cs="Arial Unicode MS"/>
          <w:sz w:val="18"/>
          <w:lang w:eastAsia="it-IT"/>
        </w:rPr>
        <w:t xml:space="preserve">centralina idraulica silenziata (completa di by-pass  per test di tenuta valvole) e </w:t>
      </w:r>
      <w:r w:rsidRPr="002D143A">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dotata di </w:t>
      </w:r>
      <w:r w:rsidRPr="002D143A">
        <w:rPr>
          <w:rFonts w:ascii="Arial Unicode MS" w:eastAsia="Arial Unicode MS" w:hAnsi="Arial Unicode MS" w:cs="Arial Unicode MS"/>
          <w:sz w:val="18"/>
          <w:lang w:eastAsia="it-IT"/>
        </w:rPr>
        <w:t xml:space="preserve"> motore elettrico </w:t>
      </w:r>
      <w:r w:rsidR="00103886">
        <w:rPr>
          <w:rFonts w:ascii="Arial Unicode MS" w:eastAsia="Arial Unicode MS" w:hAnsi="Arial Unicode MS" w:cs="Arial Unicode MS"/>
          <w:sz w:val="18"/>
          <w:lang w:eastAsia="it-IT"/>
        </w:rPr>
        <w:t xml:space="preserve">trifase </w:t>
      </w:r>
      <w:r w:rsidR="0021167F">
        <w:rPr>
          <w:rFonts w:ascii="Arial Unicode MS" w:eastAsia="Arial Unicode MS" w:hAnsi="Arial Unicode MS" w:cs="Arial Unicode MS"/>
          <w:sz w:val="18"/>
          <w:lang w:eastAsia="it-IT"/>
        </w:rPr>
        <w:t xml:space="preserve">IE3 </w:t>
      </w:r>
      <w:r w:rsidR="00103886">
        <w:rPr>
          <w:rFonts w:ascii="Arial Unicode MS" w:eastAsia="Arial Unicode MS" w:hAnsi="Arial Unicode MS" w:cs="Arial Unicode MS"/>
          <w:sz w:val="18"/>
          <w:lang w:eastAsia="it-IT"/>
        </w:rPr>
        <w:t xml:space="preserve">(380V </w:t>
      </w:r>
      <w:r w:rsidR="000C1553">
        <w:rPr>
          <w:rFonts w:ascii="Arial Unicode MS" w:eastAsia="Arial Unicode MS" w:hAnsi="Arial Unicode MS" w:cs="Arial Unicode MS"/>
          <w:sz w:val="18"/>
          <w:lang w:eastAsia="it-IT"/>
        </w:rPr>
        <w:t>da 4 kW fini a 7.5 kW</w:t>
      </w:r>
      <w:r w:rsidR="00103886">
        <w:rPr>
          <w:rFonts w:ascii="Arial Unicode MS" w:eastAsia="Arial Unicode MS" w:hAnsi="Arial Unicode MS" w:cs="Arial Unicode MS"/>
          <w:sz w:val="18"/>
          <w:lang w:eastAsia="it-IT"/>
        </w:rPr>
        <w:t>)</w:t>
      </w:r>
      <w:r w:rsidR="0021167F">
        <w:rPr>
          <w:rFonts w:ascii="Arial Unicode MS" w:eastAsia="Arial Unicode MS" w:hAnsi="Arial Unicode MS" w:cs="Arial Unicode MS"/>
          <w:sz w:val="18"/>
          <w:lang w:eastAsia="it-IT"/>
        </w:rPr>
        <w:t xml:space="preserve"> </w:t>
      </w:r>
      <w:r w:rsidR="00103886">
        <w:rPr>
          <w:rFonts w:ascii="Arial Unicode MS" w:eastAsia="Arial Unicode MS" w:hAnsi="Arial Unicode MS" w:cs="Arial Unicode MS"/>
          <w:sz w:val="18"/>
          <w:lang w:eastAsia="it-IT"/>
        </w:rPr>
        <w:t xml:space="preserve"> </w:t>
      </w:r>
      <w:r w:rsidRPr="002D143A">
        <w:rPr>
          <w:rFonts w:ascii="Arial Unicode MS" w:eastAsia="Arial Unicode MS" w:hAnsi="Arial Unicode MS" w:cs="Arial Unicode MS"/>
          <w:sz w:val="18"/>
          <w:lang w:eastAsia="it-IT"/>
        </w:rPr>
        <w:t xml:space="preserve">ed è costruito con componenti (tubi, raccordi, valvole ecc.) </w:t>
      </w:r>
      <w:r w:rsidR="0021167F">
        <w:rPr>
          <w:rFonts w:ascii="Arial Unicode MS" w:eastAsia="Arial Unicode MS" w:hAnsi="Arial Unicode MS" w:cs="Arial Unicode MS"/>
          <w:sz w:val="18"/>
          <w:lang w:eastAsia="it-IT"/>
        </w:rPr>
        <w:t xml:space="preserve">. I </w:t>
      </w:r>
      <w:r w:rsidR="000C1553">
        <w:rPr>
          <w:rFonts w:ascii="Arial Unicode MS" w:eastAsia="Arial Unicode MS" w:hAnsi="Arial Unicode MS" w:cs="Arial Unicode MS"/>
          <w:sz w:val="18"/>
          <w:lang w:eastAsia="it-IT"/>
        </w:rPr>
        <w:t xml:space="preserve">due o quattro </w:t>
      </w:r>
      <w:r w:rsidR="0021167F">
        <w:rPr>
          <w:rFonts w:ascii="Arial Unicode MS" w:eastAsia="Arial Unicode MS" w:hAnsi="Arial Unicode MS" w:cs="Arial Unicode MS"/>
          <w:sz w:val="18"/>
          <w:lang w:eastAsia="it-IT"/>
        </w:rPr>
        <w:t xml:space="preserve">cilindri che movimentano </w:t>
      </w:r>
      <w:r w:rsidR="000C1553">
        <w:rPr>
          <w:rFonts w:ascii="Arial Unicode MS" w:eastAsia="Arial Unicode MS" w:hAnsi="Arial Unicode MS" w:cs="Arial Unicode MS"/>
          <w:sz w:val="18"/>
          <w:lang w:eastAsia="it-IT"/>
        </w:rPr>
        <w:t>la piattaforma di carico</w:t>
      </w:r>
      <w:r w:rsidR="0021167F">
        <w:rPr>
          <w:rFonts w:ascii="Arial Unicode MS" w:eastAsia="Arial Unicode MS" w:hAnsi="Arial Unicode MS" w:cs="Arial Unicode MS"/>
          <w:sz w:val="18"/>
          <w:lang w:eastAsia="it-IT"/>
        </w:rPr>
        <w:t xml:space="preserve"> sono collegati alla centralina idraulica mediante tubi in acciaio galvanizzato e tubi flessibili in gomma , categoria R2 500 bar.</w:t>
      </w:r>
    </w:p>
    <w:p w:rsidR="0021167F" w:rsidRDefault="002D143A" w:rsidP="001F1531">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L’impianto elettrico a bassa tensione </w:t>
      </w:r>
      <w:r w:rsidR="0021167F">
        <w:rPr>
          <w:rFonts w:ascii="Arial Unicode MS" w:eastAsia="Arial Unicode MS" w:hAnsi="Arial Unicode MS" w:cs="Arial Unicode MS"/>
          <w:sz w:val="18"/>
          <w:lang w:eastAsia="it-IT"/>
        </w:rPr>
        <w:t xml:space="preserve">(24-110 Volt) </w:t>
      </w:r>
      <w:r w:rsidRPr="002D143A">
        <w:rPr>
          <w:rFonts w:ascii="Arial Unicode MS" w:eastAsia="Arial Unicode MS" w:hAnsi="Arial Unicode MS" w:cs="Arial Unicode MS"/>
          <w:sz w:val="18"/>
          <w:lang w:eastAsia="it-IT"/>
        </w:rPr>
        <w:t>è costruito rispettando le norme di sicurezza ed è dotato di un comando principale a chiave asportabile collocato in un quadro comandi che può essere installato</w:t>
      </w:r>
      <w:r w:rsidR="0021167F">
        <w:rPr>
          <w:rFonts w:ascii="Arial Unicode MS" w:eastAsia="Arial Unicode MS" w:hAnsi="Arial Unicode MS" w:cs="Arial Unicode MS"/>
          <w:sz w:val="18"/>
          <w:lang w:eastAsia="it-IT"/>
        </w:rPr>
        <w:t>.</w:t>
      </w:r>
      <w:r w:rsidRPr="002D143A">
        <w:rPr>
          <w:rFonts w:ascii="Arial Unicode MS" w:eastAsia="Arial Unicode MS" w:hAnsi="Arial Unicode MS" w:cs="Arial Unicode MS"/>
          <w:sz w:val="18"/>
          <w:lang w:eastAsia="it-IT"/>
        </w:rPr>
        <w:t xml:space="preserve"> </w:t>
      </w:r>
    </w:p>
    <w:p w:rsidR="0021167F" w:rsidRDefault="0021167F" w:rsidP="0021167F">
      <w:r>
        <w:lastRenderedPageBreak/>
        <w:t>CERTIFICAZIONE “ CONDUCENTE A BORDO”</w:t>
      </w:r>
    </w:p>
    <w:p w:rsidR="0021167F" w:rsidRDefault="0047004D" w:rsidP="0021167F">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Il pianale di carico della piattaforma è dotato di</w:t>
      </w:r>
      <w:r w:rsidR="00FB7EC1">
        <w:rPr>
          <w:rFonts w:ascii="Arial Unicode MS" w:eastAsia="Arial Unicode MS" w:hAnsi="Arial Unicode MS" w:cs="Arial Unicode MS"/>
          <w:sz w:val="18"/>
          <w:lang w:eastAsia="it-IT"/>
        </w:rPr>
        <w:t xml:space="preserve"> una componentistica specifica in grado di garantire la presenza del conducente a bordo auto, il tutto, in totale sicurezza.</w:t>
      </w: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Di seguito viene riportato l’elenco dei dispositivi che compongono il kit “conducente a bordo” :</w:t>
      </w:r>
    </w:p>
    <w:p w:rsidR="00A9717E" w:rsidRDefault="00FB7EC1"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barriera posizionate in prossimità dei 4 vertici del pianale di carico, necessarie al corret</w:t>
      </w:r>
      <w:r w:rsidR="00A9717E">
        <w:rPr>
          <w:rFonts w:ascii="Arial Unicode MS" w:eastAsia="Arial Unicode MS" w:hAnsi="Arial Unicode MS" w:cs="Arial Unicode MS"/>
          <w:sz w:val="18"/>
          <w:lang w:eastAsia="it-IT"/>
        </w:rPr>
        <w:t>to posizionamento della vettura grazie alla presenza di luci verdi e rosse.</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Sensori di presenza vettura installate a bordo piattaforma.</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Protezioni laterali in vetro bianco latte doppio strato complete di pulsantiere in acciaio inox.</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UPS in grado di garantire la discesa della piattaforma e relativa apertura della porta al piano inferiore in caso di </w:t>
      </w:r>
      <w:proofErr w:type="spellStart"/>
      <w:r>
        <w:rPr>
          <w:rFonts w:ascii="Arial Unicode MS" w:eastAsia="Arial Unicode MS" w:hAnsi="Arial Unicode MS" w:cs="Arial Unicode MS"/>
          <w:sz w:val="18"/>
          <w:lang w:eastAsia="it-IT"/>
        </w:rPr>
        <w:t>black</w:t>
      </w:r>
      <w:proofErr w:type="spellEnd"/>
      <w:r>
        <w:rPr>
          <w:rFonts w:ascii="Arial Unicode MS" w:eastAsia="Arial Unicode MS" w:hAnsi="Arial Unicode MS" w:cs="Arial Unicode MS"/>
          <w:sz w:val="18"/>
          <w:lang w:eastAsia="it-IT"/>
        </w:rPr>
        <w:t xml:space="preserve"> out.</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Combinatore telefonico collegato a linea fissa.</w:t>
      </w:r>
    </w:p>
    <w:p w:rsidR="00A9717E" w:rsidRDefault="002D4D4C"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Limitazioni : In riferimento al decreto Ministeriale del 1° Febbraio 1986 “Norme di sicurezza antincendio per la costruzioni di autorimesse e simili”, si ricorda che la movimentazione degli automezzi nel vano </w:t>
      </w:r>
      <w:proofErr w:type="spellStart"/>
      <w:r>
        <w:rPr>
          <w:rFonts w:ascii="Arial Unicode MS" w:eastAsia="Arial Unicode MS" w:hAnsi="Arial Unicode MS" w:cs="Arial Unicode MS"/>
          <w:sz w:val="18"/>
          <w:lang w:eastAsia="it-IT"/>
        </w:rPr>
        <w:t>montauto</w:t>
      </w:r>
      <w:proofErr w:type="spellEnd"/>
      <w:r>
        <w:rPr>
          <w:rFonts w:ascii="Arial Unicode MS" w:eastAsia="Arial Unicode MS" w:hAnsi="Arial Unicode MS" w:cs="Arial Unicode MS"/>
          <w:sz w:val="18"/>
          <w:lang w:eastAsia="it-IT"/>
        </w:rPr>
        <w:t xml:space="preserve"> non deve avvenire con la presenza di persone a bordo, per autorimesse aventi capacità di </w:t>
      </w:r>
      <w:proofErr w:type="spellStart"/>
      <w:r>
        <w:rPr>
          <w:rFonts w:ascii="Arial Unicode MS" w:eastAsia="Arial Unicode MS" w:hAnsi="Arial Unicode MS" w:cs="Arial Unicode MS"/>
          <w:sz w:val="18"/>
          <w:lang w:eastAsia="it-IT"/>
        </w:rPr>
        <w:t>parcamento</w:t>
      </w:r>
      <w:proofErr w:type="spellEnd"/>
      <w:r>
        <w:rPr>
          <w:rFonts w:ascii="Arial Unicode MS" w:eastAsia="Arial Unicode MS" w:hAnsi="Arial Unicode MS" w:cs="Arial Unicode MS"/>
          <w:sz w:val="18"/>
          <w:lang w:eastAsia="it-IT"/>
        </w:rPr>
        <w:t xml:space="preserve"> superiori a 9 posti auto o 300 mq .</w:t>
      </w:r>
    </w:p>
    <w:p w:rsidR="00B329E9"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B329E9" w:rsidRDefault="00B329E9" w:rsidP="00B329E9">
      <w:r>
        <w:t>ESCLUSIONI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IVA ai termini di legge</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Parapetto a norma di legge da posizionare al piano terra</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Permessi di accesso, sosta,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Impianto di illuminazione zona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Opere edile di qualsiasi genere, posa e predisposizione corrugati per impianto elettrico a noi riservati.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Alimentazione e collegamento energia elettrica, linea telefonica e messa a terra al quadro</w:t>
      </w:r>
    </w:p>
    <w:p w:rsidR="00B329E9" w:rsidRP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Linea di messa a terra diametro 16mm del vano piattaforma.</w:t>
      </w:r>
    </w:p>
    <w:p w:rsidR="00B329E9" w:rsidRPr="00A9717E"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p>
    <w:p w:rsidR="00FB7EC1" w:rsidRDefault="00FB7EC1" w:rsidP="0021167F">
      <w:pPr>
        <w:widowControl w:val="0"/>
        <w:spacing w:after="0" w:line="240" w:lineRule="auto"/>
        <w:ind w:left="1985"/>
        <w:jc w:val="both"/>
        <w:rPr>
          <w:rFonts w:ascii="Arial Unicode MS" w:eastAsia="Arial Unicode MS" w:hAnsi="Arial Unicode MS" w:cs="Arial Unicode MS"/>
          <w:sz w:val="18"/>
          <w:lang w:eastAsia="it-IT"/>
        </w:rPr>
      </w:pPr>
    </w:p>
    <w:p w:rsidR="0021167F" w:rsidRPr="002D143A" w:rsidRDefault="0021167F" w:rsidP="00103886">
      <w:pPr>
        <w:widowControl w:val="0"/>
        <w:spacing w:after="0" w:line="240" w:lineRule="auto"/>
        <w:ind w:left="1985"/>
        <w:jc w:val="both"/>
        <w:rPr>
          <w:rFonts w:ascii="Arial Unicode MS" w:eastAsia="Arial Unicode MS" w:hAnsi="Arial Unicode MS" w:cs="Arial Unicode MS"/>
          <w:sz w:val="18"/>
          <w:lang w:eastAsia="it-IT"/>
        </w:rPr>
      </w:pPr>
    </w:p>
    <w:p w:rsidR="002D143A" w:rsidRPr="002D143A" w:rsidRDefault="002D143A" w:rsidP="002D143A">
      <w:pPr>
        <w:ind w:left="1985"/>
        <w:rPr>
          <w:rFonts w:ascii="Arial Unicode MS" w:eastAsia="Arial Unicode MS" w:hAnsi="Arial Unicode MS" w:cs="Arial Unicode MS"/>
          <w:sz w:val="24"/>
        </w:rPr>
      </w:pPr>
    </w:p>
    <w:sectPr w:rsidR="002D143A" w:rsidRPr="002D14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2E" w:rsidRDefault="003B322E" w:rsidP="00233B07">
      <w:pPr>
        <w:spacing w:after="0" w:line="240" w:lineRule="auto"/>
      </w:pPr>
      <w:r>
        <w:separator/>
      </w:r>
    </w:p>
  </w:endnote>
  <w:endnote w:type="continuationSeparator" w:id="0">
    <w:p w:rsidR="003B322E" w:rsidRDefault="003B322E" w:rsidP="002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7" w:rsidRPr="00EE62A3" w:rsidRDefault="00233B07" w:rsidP="00EE62A3">
    <w:pPr>
      <w:pStyle w:val="Pidipagina"/>
      <w:jc w:val="center"/>
      <w:rPr>
        <w:rFonts w:ascii="Adobe Heiti Std R" w:eastAsia="Adobe Heiti Std R" w:hAnsi="Adobe Heiti Std R"/>
        <w:caps/>
        <w:color w:val="7F7F7F" w:themeColor="text1" w:themeTint="80"/>
        <w:sz w:val="16"/>
      </w:rPr>
    </w:pPr>
    <w:r w:rsidRPr="00233B07">
      <w:rPr>
        <w:rFonts w:ascii="Adobe Heiti Std R" w:eastAsia="Adobe Heiti Std R" w:hAnsi="Adobe Heiti Std R"/>
        <w:caps/>
        <w:color w:val="7F7F7F" w:themeColor="text1" w:themeTint="80"/>
        <w:sz w:val="16"/>
      </w:rPr>
      <w:t xml:space="preserve">GREEN PARK SRL – VIa DEI COLLI N°30 – 25013 CARPENEDOLO (BS) –     P.IVA 02905150989 </w:t>
    </w:r>
    <w:r>
      <w:rPr>
        <w:rFonts w:ascii="Adobe Heiti Std R" w:eastAsia="Adobe Heiti Std R" w:hAnsi="Adobe Heiti Std R"/>
        <w:caps/>
        <w:color w:val="7F7F7F" w:themeColor="text1" w:themeTint="80"/>
        <w:sz w:val="16"/>
      </w:rPr>
      <w:t xml:space="preserve">                                                                                                 </w:t>
    </w:r>
    <w:r w:rsidRPr="00233B07">
      <w:rPr>
        <w:rFonts w:ascii="Adobe Heiti Std R" w:eastAsia="Adobe Heiti Std R" w:hAnsi="Adobe Heiti Std R"/>
        <w:caps/>
        <w:color w:val="7F7F7F" w:themeColor="text1" w:themeTint="80"/>
        <w:sz w:val="16"/>
      </w:rPr>
      <w:t>info@green</w:t>
    </w:r>
    <w:r w:rsidR="00EE62A3">
      <w:rPr>
        <w:rFonts w:ascii="Adobe Heiti Std R" w:eastAsia="Adobe Heiti Std R" w:hAnsi="Adobe Heiti Std R"/>
        <w:caps/>
        <w:color w:val="7F7F7F" w:themeColor="text1" w:themeTint="80"/>
        <w:sz w:val="16"/>
      </w:rPr>
      <w:t>parksrl.it   030 9698822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2E" w:rsidRDefault="003B322E" w:rsidP="00233B07">
      <w:pPr>
        <w:spacing w:after="0" w:line="240" w:lineRule="auto"/>
      </w:pPr>
      <w:r>
        <w:separator/>
      </w:r>
    </w:p>
  </w:footnote>
  <w:footnote w:type="continuationSeparator" w:id="0">
    <w:p w:rsidR="003B322E" w:rsidRDefault="003B322E" w:rsidP="0023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E7"/>
    <w:multiLevelType w:val="hybridMultilevel"/>
    <w:tmpl w:val="E7EE5790"/>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 w15:restartNumberingAfterBreak="0">
    <w:nsid w:val="36D253F2"/>
    <w:multiLevelType w:val="hybridMultilevel"/>
    <w:tmpl w:val="50227A26"/>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7542357A"/>
    <w:multiLevelType w:val="hybridMultilevel"/>
    <w:tmpl w:val="8D9281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7"/>
    <w:rsid w:val="000C1553"/>
    <w:rsid w:val="00103886"/>
    <w:rsid w:val="0013562E"/>
    <w:rsid w:val="001623B9"/>
    <w:rsid w:val="001F1531"/>
    <w:rsid w:val="0021167F"/>
    <w:rsid w:val="00233B07"/>
    <w:rsid w:val="0024354F"/>
    <w:rsid w:val="0027253F"/>
    <w:rsid w:val="002D143A"/>
    <w:rsid w:val="002D4D4C"/>
    <w:rsid w:val="0033169E"/>
    <w:rsid w:val="00374013"/>
    <w:rsid w:val="00395A52"/>
    <w:rsid w:val="003B322E"/>
    <w:rsid w:val="00452B82"/>
    <w:rsid w:val="0047004D"/>
    <w:rsid w:val="0047272B"/>
    <w:rsid w:val="004A1B9B"/>
    <w:rsid w:val="00575A60"/>
    <w:rsid w:val="00714890"/>
    <w:rsid w:val="00784494"/>
    <w:rsid w:val="008B5258"/>
    <w:rsid w:val="00931465"/>
    <w:rsid w:val="00990091"/>
    <w:rsid w:val="00A14CCB"/>
    <w:rsid w:val="00A9717E"/>
    <w:rsid w:val="00B329E9"/>
    <w:rsid w:val="00BE326C"/>
    <w:rsid w:val="00C81B5B"/>
    <w:rsid w:val="00ED6289"/>
    <w:rsid w:val="00EE62A3"/>
    <w:rsid w:val="00FB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0DCC"/>
  <w15:chartTrackingRefBased/>
  <w15:docId w15:val="{5E60093B-089D-4CA7-A56C-62DF90E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3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07"/>
  </w:style>
  <w:style w:type="paragraph" w:styleId="Pidipagina">
    <w:name w:val="footer"/>
    <w:basedOn w:val="Normale"/>
    <w:link w:val="PidipaginaCarattere"/>
    <w:uiPriority w:val="99"/>
    <w:unhideWhenUsed/>
    <w:rsid w:val="00233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07"/>
  </w:style>
  <w:style w:type="character" w:styleId="Collegamentoipertestuale">
    <w:name w:val="Hyperlink"/>
    <w:basedOn w:val="Carpredefinitoparagrafo"/>
    <w:uiPriority w:val="99"/>
    <w:unhideWhenUsed/>
    <w:rsid w:val="00233B07"/>
    <w:rPr>
      <w:color w:val="0000FF" w:themeColor="hyperlink"/>
      <w:u w:val="single"/>
    </w:rPr>
  </w:style>
  <w:style w:type="paragraph" w:customStyle="1" w:styleId="Default">
    <w:name w:val="Default"/>
    <w:rsid w:val="002D143A"/>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B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3</cp:revision>
  <dcterms:created xsi:type="dcterms:W3CDTF">2019-06-06T09:57:00Z</dcterms:created>
  <dcterms:modified xsi:type="dcterms:W3CDTF">2019-06-06T13:38:00Z</dcterms:modified>
</cp:coreProperties>
</file>